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Başvuru ve Etik Beyan</w:t>
      </w:r>
    </w:p>
    <w:p>
      <w:pPr>
        <w:pStyle w:val="Subtitle"/>
        <w:spacing w:after="260"/>
      </w:pPr>
      <w:r>
        <w:t>Bütün yayın türleri için başvuru sahibinin kontrol formu.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Başvuru sahibi / Eser başlığı: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>Çalışmanın özgünlüğü ve mükerrer yayın durumu:</w:t>
        <w:br/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Tüm yazarların katkı ve son metin onayı: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>Araştırma etiği izni (gerekiyorsa belge ve numara):</w:t>
        <w:br/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Çıkar çatışması ve finansman kaynakları: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Üretken yapay zekâ kullanım beyanı: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Üçüncü taraf görsel ve telif izinleri: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Önceki tez / sunum / ön baskı ilişkisi:  </w:t>
      </w:r>
      <w:r>
        <w:rPr>
          <w:rFonts w:ascii="Noto Serif" w:hAnsi="Noto Serif"/>
          <w:b w:val="0"/>
          <w:color w:val="686E70"/>
          <w:sz w:val="20"/>
        </w:rPr>
        <w:t>[Açıklama]</w:t>
      </w:r>
    </w:p>
    <w:p>
      <w:pPr>
        <w:pStyle w:val="Heading1"/>
      </w:pPr>
      <w:r>
        <w:t>Yazar Beyanları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Eserin akademik özgünlüğünü ve kaynak gösterimini gözden geçirdim.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İlgili etik kurul ve üçüncü taraf kullanım izinlerini açıkladım.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Ortak yazarlar çalışma gönderimini ve katkı bilgilerini onayladı.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Yanlış/eksik bilgi verilmesinden doğan sorumluluğun farkındayım.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Beyan veren / imza / tarih: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before="180" w:after="220"/>
      </w:pPr>
      <w:r>
        <w:rPr>
          <w:rFonts w:ascii="Noto Sans" w:hAnsi="Noto Sans"/>
          <w:b/>
          <w:color w:val="B54A36"/>
          <w:sz w:val="18"/>
        </w:rPr>
        <w:t>Bu form, telif mali haklarının devri veya açık erişim için sınırsız yayın lisansı yerine geçmez.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STA-YAY-05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ve Etik Beyan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