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00"/>
      </w:pPr>
      <w:r>
        <w:rPr>
          <w:rFonts w:ascii="Noto Sans" w:hAnsi="Noto Sans"/>
          <w:b/>
          <w:color w:val="B54A36"/>
          <w:sz w:val="16"/>
        </w:rPr>
        <w:t>STA YAYIN  /  YAZAR BELGELERİ</w:t>
      </w:r>
    </w:p>
    <w:p>
      <w:pPr>
        <w:pStyle w:val="Title"/>
      </w:pPr>
      <w:r>
        <w:t>Açık Erişim Yayın İzni — Taslak</w:t>
      </w:r>
    </w:p>
    <w:p>
      <w:pPr>
        <w:pStyle w:val="Subtitle"/>
        <w:spacing w:after="260"/>
      </w:pPr>
      <w:r>
        <w:t>Kitap veya bölüm için lisans kapsamının esere özgü belirlenmesi.</w:t>
      </w:r>
    </w:p>
    <w:p>
      <w:pPr>
        <w:spacing w:before="180" w:after="220"/>
      </w:pPr>
      <w:r>
        <w:rPr>
          <w:rFonts w:ascii="Noto Sans" w:hAnsi="Noto Sans"/>
          <w:b/>
          <w:color w:val="B54A36"/>
          <w:sz w:val="18"/>
        </w:rPr>
        <w:t>HUKUKİ İNCELEME TASLAĞI — İMZA YERİNE GEÇMEZ; BELGE, HAK SAHİPLERİ VE YAYIMCI TARAFINDAN ONAYLANMALIDIR.</w:t>
      </w:r>
    </w:p>
    <w:p>
      <w:pPr>
        <w:spacing w:after="120"/>
      </w:pPr>
      <w:r>
        <w:rPr>
          <w:rFonts w:ascii="Noto Sans" w:hAnsi="Noto Sans"/>
          <w:b w:val="0"/>
          <w:color w:val="686E70"/>
          <w:sz w:val="16"/>
        </w:rPr>
        <w:t>────────────────────────────────────────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Kitap / bölüm adı:  </w:t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Hak sahibi(leri):  </w:t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Eserin sürümü ve yayın tarihi:  </w:t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p>
      <w:pPr>
        <w:pStyle w:val="Heading1"/>
      </w:pPr>
      <w:r>
        <w:t>Lisans seçimi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 ] Eserin açık erişim kopyası CC BY-NC 4.0 koşullarıyla yayımlanacaktır.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 ] Farklı lisans uygulanacaktır: [lisans türü ve gerekçesi].</w:t>
      </w:r>
    </w:p>
    <w:p>
      <w:pPr>
        <w:pStyle w:val="Heading1"/>
      </w:pPr>
      <w:r>
        <w:t>İzin kapsamı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Hak sahibi, belirtilen eserin ilgili sürümünün belirlenen lisansla erişime açılmasına izin verir. Üçüncü taraf içerikler, izin kapsamı ve lisans dışı materyal listesi aşağıda ayrıca belirtilir.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Kapsam dışı görsel, tablo veya materyal:  </w:t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İlgili hak sahibi izin belgesi referansları:  </w:t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p>
      <w:pPr>
        <w:pStyle w:val="Heading1"/>
      </w:pPr>
      <w:r>
        <w:t>Atıf ve değişiklik bildirimi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Lisansın öngördüğü kaynak gösterimi, lisans bağlantısı ve değişiklik bildirimi zorunludur; manevi haklara ve kişilik haklarına ilişkin istisnalar saklıdır.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Hak sahibi / imza / tarih:  </w:t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sectPr w:rsidR="00FC693F" w:rsidRPr="0006063C" w:rsidSect="00034616">
      <w:headerReference w:type="default" r:id="rId9"/>
      <w:footerReference w:type="default" r:id="rId10"/>
      <w:pgSz w:w="9071" w:h="13606"/>
      <w:pgMar w:top="1417" w:right="1134" w:bottom="1417" w:left="1134" w:header="709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right"/>
    </w:pPr>
    <w:r>
      <w:rPr>
        <w:rFonts w:ascii="Noto Sans" w:hAnsi="Noto Sans"/>
        <w:b w:val="0"/>
        <w:color w:val="686E70"/>
        <w:sz w:val="14"/>
      </w:rPr>
      <w:t xml:space="preserve">STA YAYIN  •  STA-YAY-07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20"/>
      <w:jc w:val="left"/>
    </w:pPr>
    <w:r>
      <w:drawing>
        <wp:inline xmlns:a="http://schemas.openxmlformats.org/drawingml/2006/main" xmlns:pic="http://schemas.openxmlformats.org/drawingml/2006/picture">
          <wp:extent cx="1044000" cy="52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-yayin-heade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4000" cy="52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20"/>
      <w:jc w:val="left"/>
    </w:pPr>
    <w:rPr>
      <w:rFonts w:ascii="Noto Serif" w:hAnsi="Noto Serif"/>
      <w:color w:val="252B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40" w:after="200"/>
      <w:outlineLvl w:val="0"/>
    </w:pPr>
    <w:rPr>
      <w:rFonts w:asciiTheme="majorHAnsi" w:eastAsiaTheme="majorEastAsia" w:hAnsiTheme="majorHAnsi" w:cstheme="majorBidi" w:ascii="Noto Serif" w:hAnsi="Noto Serif"/>
      <w:b w:val="0"/>
      <w:bCs/>
      <w:color w:val="252B2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20"/>
      <w:outlineLvl w:val="1"/>
    </w:pPr>
    <w:rPr>
      <w:rFonts w:asciiTheme="majorHAnsi" w:eastAsiaTheme="majorEastAsia" w:hAnsiTheme="majorHAnsi" w:cstheme="majorBidi" w:ascii="Noto Serif" w:hAnsi="Noto Serif"/>
      <w:b/>
      <w:bCs/>
      <w:color w:val="252B2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20" w:line="240" w:lineRule="auto" w:before="0"/>
      <w:contextualSpacing/>
    </w:pPr>
    <w:rPr>
      <w:rFonts w:asciiTheme="majorHAnsi" w:eastAsiaTheme="majorEastAsia" w:hAnsiTheme="majorHAnsi" w:cstheme="majorBidi" w:ascii="Noto Serif" w:hAnsi="Noto Serif"/>
      <w:b/>
      <w:color w:val="252B2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300"/>
    </w:pPr>
    <w:rPr>
      <w:rFonts w:asciiTheme="majorHAnsi" w:eastAsiaTheme="majorEastAsia" w:hAnsiTheme="majorHAnsi" w:cstheme="majorBidi" w:ascii="Noto Serif" w:hAnsi="Noto Serif"/>
      <w:i/>
      <w:iCs/>
      <w:color w:val="686E7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Açık Erişim Yayın İzni — Taslak</dc:title>
  <dc:subject>STA Yayın — kurumsal düzenlenebilir şablon</dc:subject>
  <dc:creator>STA Yayın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